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8EEE5" w14:textId="0C36167C" w:rsidR="008F617E" w:rsidRDefault="008F617E" w:rsidP="008F617E">
      <w:pPr>
        <w:spacing w:line="276" w:lineRule="auto"/>
      </w:pPr>
      <w:r>
        <w:t xml:space="preserve">Aprašas - </w:t>
      </w:r>
      <w:hyperlink r:id="rId7" w:history="1">
        <w:r w:rsidRPr="008F617E">
          <w:rPr>
            <w:rStyle w:val="Hipersaitas"/>
          </w:rPr>
          <w:t>2021–2030 m. energetikos plėtros programos pažangos priemonės Nr. 03-001-06-03-02 „Didinti atsinaujinančių energijos išteklių dalį, užtikrinant atsinaujinančių išteklių integraciją į elektros tinklus“ aprašo veiklos Nr. 13 „Kaupimo pajėgumų plėtra, siekiant subalansuoti elektros energetikos sistemą“ poveiklės „Didelės galios elektros energijos kaupimo įrenginių įrengimas, siekiant subalansuoti elektros energetikos sistemą“ paramos schemos finansavimo kriterijų ir sąlygų aprašas II</w:t>
        </w:r>
      </w:hyperlink>
      <w:r w:rsidR="00042EFA">
        <w:t xml:space="preserve"> (toliau - Aprašas)</w:t>
      </w:r>
    </w:p>
    <w:p w14:paraId="6C9317E0" w14:textId="77777777" w:rsidR="008F617E" w:rsidRDefault="008F617E" w:rsidP="008F617E">
      <w:pPr>
        <w:spacing w:line="276" w:lineRule="auto"/>
      </w:pPr>
    </w:p>
    <w:p w14:paraId="3C1742EE" w14:textId="59AFDDB9" w:rsidR="008F617E" w:rsidRDefault="008F617E" w:rsidP="008F617E">
      <w:pPr>
        <w:spacing w:line="276" w:lineRule="auto"/>
      </w:pPr>
      <w:r w:rsidRPr="008F617E">
        <w:t xml:space="preserve">Aprašo 17.7.2. punktas  </w:t>
      </w:r>
      <w:r>
        <w:t xml:space="preserve">- </w:t>
      </w:r>
      <w:r w:rsidRPr="008F617E">
        <w:t>palaikyti ne mažesnį nei 15 proc. kaupimo įrenginio įkrovos lygmenį per kiekvieną 15 (penkiolikos) minučių rinkos prekybos laikotarpį, išskyrus tuos atvejus, kai vykdomas galios aktyvavimas pagal perdavimo sistemos operatoriaus nustatytus veikimo parametrus avarinių situacijų valdymui.</w:t>
      </w:r>
    </w:p>
    <w:p w14:paraId="236E2370" w14:textId="77777777" w:rsidR="008F617E" w:rsidRDefault="008F617E" w:rsidP="008F617E">
      <w:pPr>
        <w:spacing w:line="276" w:lineRule="auto"/>
      </w:pPr>
    </w:p>
    <w:p w14:paraId="59518EB5" w14:textId="7592ED66" w:rsidR="008F617E" w:rsidRPr="00391E30" w:rsidRDefault="008F617E" w:rsidP="008F617E">
      <w:pPr>
        <w:spacing w:line="276" w:lineRule="auto"/>
        <w:rPr>
          <w:b/>
          <w:bCs/>
        </w:rPr>
      </w:pPr>
      <w:r w:rsidRPr="00391E30">
        <w:rPr>
          <w:b/>
          <w:bCs/>
        </w:rPr>
        <w:t xml:space="preserve">1. </w:t>
      </w:r>
      <w:r w:rsidR="007C2C33" w:rsidRPr="00391E30">
        <w:rPr>
          <w:b/>
          <w:bCs/>
        </w:rPr>
        <w:t>K</w:t>
      </w:r>
      <w:r w:rsidRPr="00391E30">
        <w:rPr>
          <w:b/>
          <w:bCs/>
        </w:rPr>
        <w:t>ą</w:t>
      </w:r>
      <w:r w:rsidR="00B93E2B" w:rsidRPr="00391E30">
        <w:rPr>
          <w:b/>
          <w:bCs/>
        </w:rPr>
        <w:t xml:space="preserve"> ši Aprašo nuostata</w:t>
      </w:r>
      <w:r w:rsidRPr="00391E30">
        <w:rPr>
          <w:b/>
          <w:bCs/>
        </w:rPr>
        <w:t xml:space="preserve"> reiškia?</w:t>
      </w:r>
    </w:p>
    <w:p w14:paraId="166FE22E" w14:textId="7ABF5CCD" w:rsidR="008F617E" w:rsidRPr="00EB5C47" w:rsidRDefault="008F617E" w:rsidP="008F617E">
      <w:pPr>
        <w:spacing w:line="276" w:lineRule="auto"/>
      </w:pPr>
      <w:r>
        <w:t xml:space="preserve">Pareiškėjas </w:t>
      </w:r>
      <w:r w:rsidRPr="008F617E">
        <w:t>7 metus po projekto įgyvendinimo laikotarpio pabaigos</w:t>
      </w:r>
      <w:r>
        <w:t xml:space="preserve">, t. y. po to kai APVA apmokės pareiškėjo pateiktą mokėjimo prašymą, įsipareigoja palaikyti </w:t>
      </w:r>
      <w:r w:rsidR="003F2685" w:rsidRPr="003F2685">
        <w:t>ne mažesnį nei 15 proc. kaupimo įrenginio įkrovos lygmenį per kiekvieną 15 (penkiolikos) minučių rinkos prekybos laikotarpį</w:t>
      </w:r>
      <w:r w:rsidR="003F2685">
        <w:t xml:space="preserve">. Išimtis taikoma tik šiais atvejais: (1) </w:t>
      </w:r>
      <w:r w:rsidR="003B38BC">
        <w:t>laikotarp</w:t>
      </w:r>
      <w:r w:rsidR="000175FC">
        <w:t>iais</w:t>
      </w:r>
      <w:r w:rsidR="003B38BC">
        <w:t xml:space="preserve"> </w:t>
      </w:r>
      <w:r w:rsidR="003F2685">
        <w:t>kai Litgrid aktyvuoja kaupimo įrenginio galią, (2) kai</w:t>
      </w:r>
      <w:r w:rsidR="003F2685" w:rsidRPr="003F2685">
        <w:t xml:space="preserve"> dėl techninių </w:t>
      </w:r>
      <w:r w:rsidR="00B93E2B">
        <w:t xml:space="preserve">įrangos gamintojo nurodytų </w:t>
      </w:r>
      <w:r w:rsidR="003F2685" w:rsidRPr="003F2685">
        <w:t>reikalavimų</w:t>
      </w:r>
      <w:r w:rsidR="003B38BC">
        <w:t xml:space="preserve"> (instrukcijų)</w:t>
      </w:r>
      <w:r w:rsidR="007C2C33">
        <w:t xml:space="preserve"> įrangai</w:t>
      </w:r>
      <w:r w:rsidR="003F2685" w:rsidRPr="003F2685">
        <w:t xml:space="preserve"> yra reikalinga iškrauti kaupiklį </w:t>
      </w:r>
      <w:r w:rsidR="003F2685" w:rsidRPr="00EB5C47">
        <w:t xml:space="preserve">iki </w:t>
      </w:r>
      <w:r w:rsidR="000175FC" w:rsidRPr="00EB5C47">
        <w:t>žemesnio lygio nei nurodyta Apraše</w:t>
      </w:r>
      <w:r w:rsidR="007C2C33" w:rsidRPr="00EB5C47">
        <w:t xml:space="preserve">. </w:t>
      </w:r>
    </w:p>
    <w:p w14:paraId="28DC94B1" w14:textId="7F23DD74" w:rsidR="008F617E" w:rsidRPr="00391E30" w:rsidRDefault="008F617E" w:rsidP="008F617E">
      <w:pPr>
        <w:spacing w:line="276" w:lineRule="auto"/>
        <w:rPr>
          <w:b/>
          <w:bCs/>
        </w:rPr>
      </w:pPr>
      <w:r w:rsidRPr="00391E30">
        <w:rPr>
          <w:b/>
          <w:bCs/>
        </w:rPr>
        <w:t xml:space="preserve">2. Kas </w:t>
      </w:r>
      <w:r w:rsidR="00B93E2B" w:rsidRPr="00391E30">
        <w:rPr>
          <w:b/>
          <w:bCs/>
        </w:rPr>
        <w:t xml:space="preserve">yra </w:t>
      </w:r>
      <w:r w:rsidRPr="00391E30">
        <w:rPr>
          <w:b/>
          <w:bCs/>
        </w:rPr>
        <w:t>rinkos prekybos laikotarpis?</w:t>
      </w:r>
    </w:p>
    <w:p w14:paraId="53566FB0" w14:textId="31BE56DE" w:rsidR="00A040C8" w:rsidRPr="000175FC" w:rsidRDefault="00A040C8" w:rsidP="00060069">
      <w:pPr>
        <w:spacing w:after="0" w:line="276" w:lineRule="auto"/>
        <w:jc w:val="both"/>
        <w:rPr>
          <w:color w:val="000000" w:themeColor="text1"/>
        </w:rPr>
      </w:pPr>
      <w:r w:rsidRPr="000175FC">
        <w:rPr>
          <w:color w:val="000000" w:themeColor="text1"/>
        </w:rPr>
        <w:t xml:space="preserve">Rinkos </w:t>
      </w:r>
      <w:r w:rsidR="0034756B" w:rsidRPr="000175FC">
        <w:rPr>
          <w:color w:val="000000" w:themeColor="text1"/>
        </w:rPr>
        <w:t xml:space="preserve">prekybos </w:t>
      </w:r>
      <w:r w:rsidRPr="000175FC">
        <w:rPr>
          <w:color w:val="000000" w:themeColor="text1"/>
        </w:rPr>
        <w:t>laiko vieneto sąvoka apibrėžta 2013 m. birželio 14 d. KOMISIJOS REGLAMENTE (ES) Nr. 543/2013 „</w:t>
      </w:r>
      <w:r w:rsidR="00D50537" w:rsidRPr="000175FC">
        <w:rPr>
          <w:color w:val="000000" w:themeColor="text1"/>
        </w:rPr>
        <w:t>D</w:t>
      </w:r>
      <w:r w:rsidRPr="000175FC">
        <w:rPr>
          <w:color w:val="000000" w:themeColor="text1"/>
        </w:rPr>
        <w:t>ėl duomenų teikimo ir skelbimo elektros energijos rinkose“,  t.</w:t>
      </w:r>
      <w:r w:rsidR="0034756B" w:rsidRPr="000175FC">
        <w:rPr>
          <w:color w:val="000000" w:themeColor="text1"/>
        </w:rPr>
        <w:t xml:space="preserve"> </w:t>
      </w:r>
      <w:r w:rsidRPr="000175FC">
        <w:rPr>
          <w:color w:val="000000" w:themeColor="text1"/>
        </w:rPr>
        <w:t>y. rinkos laiko vienetas – laikotarpis, kuriam nustatyta rinkos kaina arba trumpiausias galimas dviem prekybos zonoms bendras laikotarpis, jei jų rinkos laiko vienetai skiriasi</w:t>
      </w:r>
      <w:r w:rsidR="000175FC" w:rsidRPr="000175FC">
        <w:rPr>
          <w:color w:val="000000" w:themeColor="text1"/>
        </w:rPr>
        <w:t xml:space="preserve"> (2 straipsnis 19 dalis)</w:t>
      </w:r>
      <w:r w:rsidRPr="000175FC">
        <w:rPr>
          <w:color w:val="000000" w:themeColor="text1"/>
        </w:rPr>
        <w:t xml:space="preserve">. </w:t>
      </w:r>
    </w:p>
    <w:p w14:paraId="2BCDF50D" w14:textId="3B3E1165" w:rsidR="00A040C8" w:rsidRPr="000175FC" w:rsidRDefault="00A040C8" w:rsidP="00060069">
      <w:pPr>
        <w:spacing w:after="0" w:line="276" w:lineRule="auto"/>
        <w:jc w:val="both"/>
        <w:rPr>
          <w:color w:val="000000" w:themeColor="text1"/>
        </w:rPr>
      </w:pPr>
      <w:r w:rsidRPr="000175FC">
        <w:rPr>
          <w:color w:val="000000" w:themeColor="text1"/>
        </w:rPr>
        <w:t xml:space="preserve">Nuoroda: </w:t>
      </w:r>
      <w:hyperlink r:id="rId8" w:history="1">
        <w:r w:rsidRPr="000175FC">
          <w:rPr>
            <w:rStyle w:val="Hipersaitas"/>
          </w:rPr>
          <w:t>https://eur-lex.europa.eu/legal-content/LT/TXT/HTML/?uri=CELEX:02013R0543-20200101</w:t>
        </w:r>
      </w:hyperlink>
    </w:p>
    <w:p w14:paraId="7BA673D2" w14:textId="11FB59DB" w:rsidR="007C2C33" w:rsidRDefault="00824ACD" w:rsidP="008F617E">
      <w:pPr>
        <w:spacing w:line="276" w:lineRule="auto"/>
      </w:pPr>
      <w:r w:rsidRPr="000175FC">
        <w:rPr>
          <w:color w:val="000000" w:themeColor="text1"/>
        </w:rPr>
        <w:t>Šiuo metu n</w:t>
      </w:r>
      <w:r w:rsidR="00A040C8" w:rsidRPr="000175FC">
        <w:rPr>
          <w:color w:val="000000" w:themeColor="text1"/>
        </w:rPr>
        <w:t xml:space="preserve">ustatyta rinkos laiko vieneto trukmė 15 minučių.  </w:t>
      </w:r>
    </w:p>
    <w:p w14:paraId="31410319" w14:textId="1CF331C3" w:rsidR="008F617E" w:rsidRPr="00391E30" w:rsidRDefault="008F617E" w:rsidP="008F617E">
      <w:pPr>
        <w:spacing w:line="276" w:lineRule="auto"/>
        <w:rPr>
          <w:b/>
          <w:bCs/>
        </w:rPr>
      </w:pPr>
      <w:bookmarkStart w:id="0" w:name="_Hlk219798544"/>
      <w:r w:rsidRPr="00391E30">
        <w:rPr>
          <w:b/>
          <w:bCs/>
        </w:rPr>
        <w:t xml:space="preserve">3. </w:t>
      </w:r>
      <w:r w:rsidR="007C2C33" w:rsidRPr="00391E30">
        <w:rPr>
          <w:b/>
          <w:bCs/>
        </w:rPr>
        <w:t>K</w:t>
      </w:r>
      <w:r w:rsidRPr="00391E30">
        <w:rPr>
          <w:b/>
          <w:bCs/>
        </w:rPr>
        <w:t xml:space="preserve">ą </w:t>
      </w:r>
      <w:r w:rsidR="007C2C33" w:rsidRPr="00391E30">
        <w:rPr>
          <w:b/>
          <w:bCs/>
        </w:rPr>
        <w:t xml:space="preserve">pareiškėjas </w:t>
      </w:r>
      <w:r w:rsidRPr="00391E30">
        <w:rPr>
          <w:b/>
          <w:bCs/>
        </w:rPr>
        <w:t>turės</w:t>
      </w:r>
      <w:r w:rsidR="007C2C33" w:rsidRPr="00391E30">
        <w:rPr>
          <w:b/>
          <w:bCs/>
        </w:rPr>
        <w:t xml:space="preserve"> </w:t>
      </w:r>
      <w:r w:rsidRPr="00391E30">
        <w:rPr>
          <w:b/>
          <w:bCs/>
        </w:rPr>
        <w:t>pateikti?</w:t>
      </w:r>
    </w:p>
    <w:p w14:paraId="78D3582B" w14:textId="286D798E" w:rsidR="007C2C33" w:rsidRDefault="007C2C33" w:rsidP="008F617E">
      <w:pPr>
        <w:spacing w:line="276" w:lineRule="auto"/>
      </w:pPr>
      <w:r>
        <w:t xml:space="preserve">Siekiant įrodyti šio reikalavimo įgyvendinimą Pareiškėjui nereikės teikti </w:t>
      </w:r>
      <w:r w:rsidR="00391E30">
        <w:t xml:space="preserve">APVA </w:t>
      </w:r>
      <w:r w:rsidR="00CF2503">
        <w:t xml:space="preserve">papildomų </w:t>
      </w:r>
      <w:r>
        <w:t>duomenų (išskyrus įrangos tiekėjo garantinių</w:t>
      </w:r>
      <w:r w:rsidR="00CF2503">
        <w:t xml:space="preserve"> sąlygų</w:t>
      </w:r>
      <w:r>
        <w:t xml:space="preserve"> </w:t>
      </w:r>
      <w:r w:rsidR="00CF2503">
        <w:t>reikalavimų aprašymų</w:t>
      </w:r>
      <w:r w:rsidR="00C32A19">
        <w:t>, instrukcijų</w:t>
      </w:r>
      <w:r w:rsidR="00CF2503">
        <w:t xml:space="preserve">, </w:t>
      </w:r>
      <w:r w:rsidR="00C32A19">
        <w:t xml:space="preserve">įrodančių, kad </w:t>
      </w:r>
      <w:r w:rsidR="00CF2503">
        <w:t xml:space="preserve">nustatytu periodiškumu reikalingas kaupimo įrenginio iškrovimas </w:t>
      </w:r>
      <w:r w:rsidR="00F97A21">
        <w:t xml:space="preserve">žemiau </w:t>
      </w:r>
      <w:r w:rsidR="00CF2503">
        <w:t xml:space="preserve">15 proc. lygmens). </w:t>
      </w:r>
      <w:r w:rsidR="00C32A19">
        <w:t>Informaciją apie Pareiškėjo kaupimo įrenginio techninius rodiklius APVA gaus iš Perdavimo sistemos operatoriaus.</w:t>
      </w:r>
    </w:p>
    <w:p w14:paraId="7F0583E3" w14:textId="6A69E5DB" w:rsidR="00A2506D" w:rsidRDefault="00C32A19" w:rsidP="00C32A19">
      <w:pPr>
        <w:spacing w:line="276" w:lineRule="auto"/>
        <w:jc w:val="both"/>
      </w:pPr>
      <w:r>
        <w:t xml:space="preserve">Tačiau, </w:t>
      </w:r>
      <w:r w:rsidR="00A2506D">
        <w:t>Pareiškėjas</w:t>
      </w:r>
      <w:r>
        <w:t xml:space="preserve"> teisės aktų nustatyta tvarka </w:t>
      </w:r>
      <w:r w:rsidR="00A2506D">
        <w:t xml:space="preserve"> teiks įkrovos lygio matavimus tikruoju laiku pagal Perdavimo sistemos operatoriaus (toliau - PSO) nustatytus reikalavimus. </w:t>
      </w:r>
    </w:p>
    <w:p w14:paraId="2620A3C9" w14:textId="67AD4FA3" w:rsidR="008F617E" w:rsidRPr="006900ED" w:rsidRDefault="008F617E" w:rsidP="008F617E">
      <w:pPr>
        <w:spacing w:line="276" w:lineRule="auto"/>
        <w:rPr>
          <w:b/>
          <w:bCs/>
        </w:rPr>
      </w:pPr>
      <w:bookmarkStart w:id="1" w:name="_Hlk219798594"/>
      <w:bookmarkEnd w:id="0"/>
      <w:r w:rsidRPr="006900ED">
        <w:rPr>
          <w:b/>
          <w:bCs/>
        </w:rPr>
        <w:t xml:space="preserve">4. </w:t>
      </w:r>
      <w:r w:rsidR="00CF2503" w:rsidRPr="006900ED">
        <w:rPr>
          <w:b/>
          <w:bCs/>
        </w:rPr>
        <w:t>K</w:t>
      </w:r>
      <w:r w:rsidRPr="006900ED">
        <w:rPr>
          <w:b/>
          <w:bCs/>
        </w:rPr>
        <w:t>aip įgyvendinti, kokiame etape turim tai numatyti?</w:t>
      </w:r>
    </w:p>
    <w:p w14:paraId="3BAE5F0E" w14:textId="33CED59F" w:rsidR="001B02B8" w:rsidRDefault="001B02B8" w:rsidP="001B02B8">
      <w:pPr>
        <w:spacing w:after="0" w:line="276" w:lineRule="auto"/>
      </w:pPr>
      <w:r>
        <w:t xml:space="preserve">Standartiniai elektros energijos kaupimo įrenginių valdymo reikalavimai yra nustatyti Valstybinės energetikos reguliavimo tarybos 2025 m. lapkričio 21 d. nutarimu Nr. O3E-1721 patvirtinto „Pasinaudojimo elektros perdavimo tinklais tvarkos aprašo“  16 priede. Nuoroda: </w:t>
      </w:r>
      <w:hyperlink r:id="rId9" w:history="1">
        <w:r w:rsidRPr="001B02B8">
          <w:rPr>
            <w:rStyle w:val="Hipersaitas"/>
          </w:rPr>
          <w:t>https://www.e-tar.lt/portal/lt/legalAct/a0940531c6b911f0a6e08c3b04d14d49</w:t>
        </w:r>
      </w:hyperlink>
      <w:r>
        <w:t>.</w:t>
      </w:r>
    </w:p>
    <w:p w14:paraId="49BD45F6" w14:textId="6613B1FE" w:rsidR="001B02B8" w:rsidRDefault="006900ED" w:rsidP="001B02B8">
      <w:pPr>
        <w:spacing w:after="0" w:line="276" w:lineRule="auto"/>
        <w:jc w:val="both"/>
      </w:pPr>
      <w:r>
        <w:t>P</w:t>
      </w:r>
      <w:r w:rsidR="001B02B8">
        <w:t xml:space="preserve">rie PSO tinklo </w:t>
      </w:r>
      <w:r>
        <w:t xml:space="preserve">prijungiamų elektros energijos kaupimo įrenginių </w:t>
      </w:r>
      <w:r w:rsidR="001B02B8">
        <w:t>standartiniai techniniai reikalavimai ir standartinės bandymo programos skelbiamos Litgrid AB interneto svetainėje.</w:t>
      </w:r>
    </w:p>
    <w:p w14:paraId="3C798708" w14:textId="2B817B65" w:rsidR="001B02B8" w:rsidRDefault="001B02B8" w:rsidP="001B02B8">
      <w:pPr>
        <w:spacing w:after="0" w:line="276" w:lineRule="auto"/>
        <w:jc w:val="both"/>
      </w:pPr>
    </w:p>
    <w:p w14:paraId="08473B4F" w14:textId="2A018601" w:rsidR="000175FC" w:rsidRDefault="00B00665" w:rsidP="00664FB9">
      <w:pPr>
        <w:spacing w:after="0" w:line="276" w:lineRule="auto"/>
        <w:jc w:val="both"/>
      </w:pPr>
      <w:r>
        <w:t>Pareiškėjas visus techninius reikalavimus įrangai turi numatyti pirkimo metu techninėje įrangos specifikacijoje pagal reikalavimus</w:t>
      </w:r>
      <w:r w:rsidR="005A7A51">
        <w:t>,</w:t>
      </w:r>
      <w:r>
        <w:t xml:space="preserve"> nurodytus </w:t>
      </w:r>
      <w:r w:rsidR="001B02B8">
        <w:t xml:space="preserve">(1) </w:t>
      </w:r>
      <w:r>
        <w:t>Litgrid AB prijungimo sąlygose</w:t>
      </w:r>
      <w:r w:rsidR="001B02B8">
        <w:t xml:space="preserve">, (2) </w:t>
      </w:r>
      <w:r w:rsidR="001B02B8" w:rsidRPr="001B02B8">
        <w:t>Pasinaudojimo elektros perdavimo tinklais tvarkos apraš</w:t>
      </w:r>
      <w:r w:rsidR="001B02B8">
        <w:t xml:space="preserve">e </w:t>
      </w:r>
      <w:r w:rsidR="005A7A51">
        <w:t xml:space="preserve"> bei </w:t>
      </w:r>
      <w:r w:rsidR="001B02B8">
        <w:t>(3) „</w:t>
      </w:r>
      <w:r w:rsidR="001B02B8" w:rsidRPr="001B02B8">
        <w:t>Didelės galios elektros energijos kaupimo įrenginių įrengimas, siekiant subalansuoti elektros energetikos sistemą“ paramos schemos finansavimo kriterijų ir sąlygų apraš</w:t>
      </w:r>
      <w:r w:rsidR="001B02B8">
        <w:t>e</w:t>
      </w:r>
      <w:r w:rsidR="001B02B8" w:rsidRPr="001B02B8">
        <w:t xml:space="preserve"> II</w:t>
      </w:r>
      <w:r>
        <w:t xml:space="preserve">. </w:t>
      </w:r>
    </w:p>
    <w:p w14:paraId="71586F60" w14:textId="77777777" w:rsidR="001B02B8" w:rsidRDefault="001B02B8" w:rsidP="008F617E">
      <w:pPr>
        <w:spacing w:line="276" w:lineRule="auto"/>
      </w:pPr>
      <w:bookmarkStart w:id="2" w:name="_Hlk219798634"/>
      <w:bookmarkEnd w:id="1"/>
    </w:p>
    <w:p w14:paraId="4D38175B" w14:textId="2A43FD75" w:rsidR="008F617E" w:rsidRPr="006900ED" w:rsidRDefault="008F617E" w:rsidP="008F617E">
      <w:pPr>
        <w:spacing w:line="276" w:lineRule="auto"/>
        <w:rPr>
          <w:b/>
          <w:bCs/>
        </w:rPr>
      </w:pPr>
      <w:r w:rsidRPr="006900ED">
        <w:rPr>
          <w:b/>
          <w:bCs/>
        </w:rPr>
        <w:t>5. Li</w:t>
      </w:r>
      <w:r w:rsidR="001B02B8" w:rsidRPr="006900ED">
        <w:rPr>
          <w:b/>
          <w:bCs/>
        </w:rPr>
        <w:t>t</w:t>
      </w:r>
      <w:r w:rsidRPr="006900ED">
        <w:rPr>
          <w:b/>
          <w:bCs/>
        </w:rPr>
        <w:t>grid</w:t>
      </w:r>
      <w:r w:rsidR="001B02B8" w:rsidRPr="006900ED">
        <w:rPr>
          <w:b/>
          <w:bCs/>
        </w:rPr>
        <w:t xml:space="preserve"> </w:t>
      </w:r>
      <w:r w:rsidRPr="006900ED">
        <w:rPr>
          <w:b/>
          <w:bCs/>
        </w:rPr>
        <w:t xml:space="preserve">ar kita institucija numato kompensuoti Projekto vykdytojui </w:t>
      </w:r>
      <w:r w:rsidR="001B02B8" w:rsidRPr="006900ED">
        <w:rPr>
          <w:b/>
          <w:bCs/>
        </w:rPr>
        <w:t xml:space="preserve">patirtas sąnaudas (negautas pajamas) vykdant reikalavimą rezervuoti 15 proc. pajėgumų </w:t>
      </w:r>
      <w:r w:rsidRPr="006900ED">
        <w:rPr>
          <w:b/>
          <w:bCs/>
        </w:rPr>
        <w:t>ir jei taip, koks būtų kompensavimo mechanizmas?</w:t>
      </w:r>
    </w:p>
    <w:p w14:paraId="331D6FF7" w14:textId="57712276" w:rsidR="00CF2503" w:rsidRPr="008F617E" w:rsidRDefault="00E6220D" w:rsidP="008F617E">
      <w:pPr>
        <w:spacing w:line="276" w:lineRule="auto"/>
      </w:pPr>
      <w:r>
        <w:t>Papildomas kompensavimas už Pareiškėjo prisiimamus įsipareigojimus</w:t>
      </w:r>
      <w:r w:rsidR="00E71881">
        <w:t xml:space="preserve">, t. y. </w:t>
      </w:r>
      <w:r w:rsidR="00042EFA">
        <w:t xml:space="preserve">15 proc. </w:t>
      </w:r>
      <w:r w:rsidR="00E71881">
        <w:t>pajėgumų rezervavimą</w:t>
      </w:r>
      <w:r w:rsidR="0021205B">
        <w:t>,</w:t>
      </w:r>
      <w:r>
        <w:t xml:space="preserve"> nenumatytas. Už pasinaudojimą sukaupta energija Litgrid AB teiks Pareiškėjui atlygį teisės aktų nustatyta tvarka pagal standartines numatytas Atsiskaitymo už disbalanso sutartyje sąlygas.</w:t>
      </w:r>
      <w:r w:rsidR="0021205B">
        <w:t xml:space="preserve"> </w:t>
      </w:r>
      <w:r>
        <w:t>Standartinė Atsiskaitymo už disbalanso sutartis skelbiama Litgrid AB interneto svetainėje.</w:t>
      </w:r>
      <w:bookmarkEnd w:id="2"/>
    </w:p>
    <w:p w14:paraId="7BE4E6E1" w14:textId="77777777" w:rsidR="008F617E" w:rsidRPr="006900ED" w:rsidRDefault="008F617E" w:rsidP="008F617E">
      <w:pPr>
        <w:spacing w:line="276" w:lineRule="auto"/>
        <w:rPr>
          <w:b/>
          <w:bCs/>
        </w:rPr>
      </w:pPr>
      <w:r w:rsidRPr="006900ED">
        <w:rPr>
          <w:b/>
          <w:bCs/>
        </w:rPr>
        <w:t>6. Kaip tai bus vertinama ir tikrinama?</w:t>
      </w:r>
    </w:p>
    <w:p w14:paraId="3965A980" w14:textId="008B73E2" w:rsidR="007A700A" w:rsidRPr="008F617E" w:rsidRDefault="004155C0" w:rsidP="008F617E">
      <w:pPr>
        <w:spacing w:line="276" w:lineRule="auto"/>
      </w:pPr>
      <w:r>
        <w:t xml:space="preserve">APVA </w:t>
      </w:r>
      <w:r w:rsidRPr="004155C0">
        <w:t>7 metus po projekto įgyvendinimo pabaigos</w:t>
      </w:r>
      <w:r>
        <w:t xml:space="preserve"> gali kreiptis į Litgrid su prašymu pateikti informaciją apie Pareiškėjo palaikomą kaupimo įrenginio įkrovimo lygmenį per kiekvieną 15 minučių rinkos prekybos laikotarpį per nurodytą laiko</w:t>
      </w:r>
      <w:r w:rsidR="00675DE1">
        <w:t>tarpį</w:t>
      </w:r>
      <w:r>
        <w:t xml:space="preserve">. Nustačius, kad Pareiškėjas nesilaiko </w:t>
      </w:r>
      <w:r w:rsidR="00675DE1">
        <w:t xml:space="preserve">prisiimtų įsipareigojimų, </w:t>
      </w:r>
      <w:r w:rsidR="00675DE1" w:rsidRPr="00675DE1">
        <w:t xml:space="preserve">Agentūra </w:t>
      </w:r>
      <w:r w:rsidR="006900ED">
        <w:t xml:space="preserve">nustatyta vidaus procedūrų tvarka </w:t>
      </w:r>
      <w:r w:rsidR="00675DE1" w:rsidRPr="00675DE1">
        <w:t>turi teisę iš pareiškėjo pareikalauti grąžinti jam išmokėtą subsidiją</w:t>
      </w:r>
      <w:r w:rsidR="00675DE1">
        <w:t xml:space="preserve"> arba dalį subsidijos.</w:t>
      </w:r>
    </w:p>
    <w:p w14:paraId="381EAB39" w14:textId="77777777" w:rsidR="003B1CA1" w:rsidRDefault="003B1CA1" w:rsidP="008F617E">
      <w:pPr>
        <w:spacing w:line="276" w:lineRule="auto"/>
      </w:pPr>
    </w:p>
    <w:sectPr w:rsidR="003B1CA1" w:rsidSect="00916189">
      <w:pgSz w:w="11906" w:h="16838" w:code="9"/>
      <w:pgMar w:top="1134" w:right="567" w:bottom="284" w:left="1701" w:header="851" w:footer="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17E"/>
    <w:rsid w:val="000175FC"/>
    <w:rsid w:val="00042EFA"/>
    <w:rsid w:val="00060069"/>
    <w:rsid w:val="001B02B8"/>
    <w:rsid w:val="0021205B"/>
    <w:rsid w:val="00254B48"/>
    <w:rsid w:val="00256280"/>
    <w:rsid w:val="0034756B"/>
    <w:rsid w:val="00391E30"/>
    <w:rsid w:val="003B1CA1"/>
    <w:rsid w:val="003B38BC"/>
    <w:rsid w:val="003F2685"/>
    <w:rsid w:val="004155C0"/>
    <w:rsid w:val="005A7A51"/>
    <w:rsid w:val="00664FB9"/>
    <w:rsid w:val="00675DE1"/>
    <w:rsid w:val="006900ED"/>
    <w:rsid w:val="007001CD"/>
    <w:rsid w:val="00703953"/>
    <w:rsid w:val="007950B9"/>
    <w:rsid w:val="007A700A"/>
    <w:rsid w:val="007C2C33"/>
    <w:rsid w:val="00824ACD"/>
    <w:rsid w:val="00842FF6"/>
    <w:rsid w:val="008C710B"/>
    <w:rsid w:val="008F617E"/>
    <w:rsid w:val="00916189"/>
    <w:rsid w:val="00970012"/>
    <w:rsid w:val="009B35BB"/>
    <w:rsid w:val="009D1A42"/>
    <w:rsid w:val="00A040C8"/>
    <w:rsid w:val="00A2506D"/>
    <w:rsid w:val="00B00665"/>
    <w:rsid w:val="00B31370"/>
    <w:rsid w:val="00B93E2B"/>
    <w:rsid w:val="00C32A19"/>
    <w:rsid w:val="00CF2503"/>
    <w:rsid w:val="00D50537"/>
    <w:rsid w:val="00D65F3D"/>
    <w:rsid w:val="00E0363A"/>
    <w:rsid w:val="00E6220D"/>
    <w:rsid w:val="00E71881"/>
    <w:rsid w:val="00EA3120"/>
    <w:rsid w:val="00EB5C47"/>
    <w:rsid w:val="00F7141D"/>
    <w:rsid w:val="00F97A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6CE92"/>
  <w15:chartTrackingRefBased/>
  <w15:docId w15:val="{2FE29672-20B7-49F7-88E6-1BC2ADD4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F61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F61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F617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F617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F617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F617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F617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F617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F617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F617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F617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F617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F617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F617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F617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F617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F617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F617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F61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F617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F617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F617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F617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F617E"/>
    <w:rPr>
      <w:i/>
      <w:iCs/>
      <w:color w:val="404040" w:themeColor="text1" w:themeTint="BF"/>
    </w:rPr>
  </w:style>
  <w:style w:type="paragraph" w:styleId="Sraopastraipa">
    <w:name w:val="List Paragraph"/>
    <w:basedOn w:val="prastasis"/>
    <w:uiPriority w:val="34"/>
    <w:qFormat/>
    <w:rsid w:val="008F617E"/>
    <w:pPr>
      <w:ind w:left="720"/>
      <w:contextualSpacing/>
    </w:pPr>
  </w:style>
  <w:style w:type="character" w:styleId="Rykuspabraukimas">
    <w:name w:val="Intense Emphasis"/>
    <w:basedOn w:val="Numatytasispastraiposriftas"/>
    <w:uiPriority w:val="21"/>
    <w:qFormat/>
    <w:rsid w:val="008F617E"/>
    <w:rPr>
      <w:i/>
      <w:iCs/>
      <w:color w:val="2F5496" w:themeColor="accent1" w:themeShade="BF"/>
    </w:rPr>
  </w:style>
  <w:style w:type="paragraph" w:styleId="Iskirtacitata">
    <w:name w:val="Intense Quote"/>
    <w:basedOn w:val="prastasis"/>
    <w:next w:val="prastasis"/>
    <w:link w:val="IskirtacitataDiagrama"/>
    <w:uiPriority w:val="30"/>
    <w:qFormat/>
    <w:rsid w:val="008F61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F617E"/>
    <w:rPr>
      <w:i/>
      <w:iCs/>
      <w:color w:val="2F5496" w:themeColor="accent1" w:themeShade="BF"/>
    </w:rPr>
  </w:style>
  <w:style w:type="character" w:styleId="Rykinuoroda">
    <w:name w:val="Intense Reference"/>
    <w:basedOn w:val="Numatytasispastraiposriftas"/>
    <w:uiPriority w:val="32"/>
    <w:qFormat/>
    <w:rsid w:val="008F617E"/>
    <w:rPr>
      <w:b/>
      <w:bCs/>
      <w:smallCaps/>
      <w:color w:val="2F5496" w:themeColor="accent1" w:themeShade="BF"/>
      <w:spacing w:val="5"/>
    </w:rPr>
  </w:style>
  <w:style w:type="character" w:styleId="Hipersaitas">
    <w:name w:val="Hyperlink"/>
    <w:basedOn w:val="Numatytasispastraiposriftas"/>
    <w:uiPriority w:val="99"/>
    <w:unhideWhenUsed/>
    <w:rsid w:val="008F617E"/>
    <w:rPr>
      <w:color w:val="0563C1" w:themeColor="hyperlink"/>
      <w:u w:val="single"/>
    </w:rPr>
  </w:style>
  <w:style w:type="character" w:styleId="Neapdorotaspaminjimas">
    <w:name w:val="Unresolved Mention"/>
    <w:basedOn w:val="Numatytasispastraiposriftas"/>
    <w:uiPriority w:val="99"/>
    <w:semiHidden/>
    <w:unhideWhenUsed/>
    <w:rsid w:val="008F617E"/>
    <w:rPr>
      <w:color w:val="605E5C"/>
      <w:shd w:val="clear" w:color="auto" w:fill="E1DFDD"/>
    </w:rPr>
  </w:style>
  <w:style w:type="paragraph" w:styleId="Pataisymai">
    <w:name w:val="Revision"/>
    <w:hidden/>
    <w:uiPriority w:val="99"/>
    <w:semiHidden/>
    <w:rsid w:val="00B93E2B"/>
    <w:pPr>
      <w:spacing w:after="0" w:line="240" w:lineRule="auto"/>
    </w:pPr>
  </w:style>
  <w:style w:type="character" w:styleId="Perirtashipersaitas">
    <w:name w:val="FollowedHyperlink"/>
    <w:basedOn w:val="Numatytasispastraiposriftas"/>
    <w:uiPriority w:val="99"/>
    <w:semiHidden/>
    <w:unhideWhenUsed/>
    <w:rsid w:val="001B02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T/TXT/HTML/?uri=CELEX:02013R0543-20200101" TargetMode="External"/><Relationship Id="rId3" Type="http://schemas.openxmlformats.org/officeDocument/2006/relationships/customXml" Target="../customXml/item3.xml"/><Relationship Id="rId7" Type="http://schemas.openxmlformats.org/officeDocument/2006/relationships/hyperlink" Target="https://apvis.apva.lt/uploads/documents/files/APVIS%20KVIETIMAI/MF-EM-EKJ04/TvarkosApra%C5%A1as.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e-tar.lt/portal/lt/legalAct/a0940531c6b911f0a6e08c3b04d14d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91aa2c8-857b-41dc-876e-377c9762eba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E4AE15E114528B4CA8EC3F762E198F91" ma:contentTypeVersion="16" ma:contentTypeDescription="Kurkite naują dokumentą." ma:contentTypeScope="" ma:versionID="69a10c27ca8999ab1af03acb091914b5">
  <xsd:schema xmlns:xsd="http://www.w3.org/2001/XMLSchema" xmlns:xs="http://www.w3.org/2001/XMLSchema" xmlns:p="http://schemas.microsoft.com/office/2006/metadata/properties" xmlns:ns3="bc525b48-24bc-4bc3-9eda-981e6c1d0436" xmlns:ns4="c91aa2c8-857b-41dc-876e-377c9762eba9" targetNamespace="http://schemas.microsoft.com/office/2006/metadata/properties" ma:root="true" ma:fieldsID="8588a6d8098d497364144ea6d6c81862" ns3:_="" ns4:_="">
    <xsd:import namespace="bc525b48-24bc-4bc3-9eda-981e6c1d0436"/>
    <xsd:import namespace="c91aa2c8-857b-41dc-876e-377c9762eba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Location"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525b48-24bc-4bc3-9eda-981e6c1d043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1aa2c8-857b-41dc-876e-377c9762eba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19D361-271B-4E0B-A0BC-C4201BB905BD}">
  <ds:schemaRefs>
    <ds:schemaRef ds:uri="http://schemas.microsoft.com/office/2006/metadata/properties"/>
    <ds:schemaRef ds:uri="http://schemas.microsoft.com/office/infopath/2007/PartnerControls"/>
    <ds:schemaRef ds:uri="c91aa2c8-857b-41dc-876e-377c9762eba9"/>
  </ds:schemaRefs>
</ds:datastoreItem>
</file>

<file path=customXml/itemProps2.xml><?xml version="1.0" encoding="utf-8"?>
<ds:datastoreItem xmlns:ds="http://schemas.openxmlformats.org/officeDocument/2006/customXml" ds:itemID="{F4BCB92C-1CC2-41C7-A224-376341C2B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525b48-24bc-4bc3-9eda-981e6c1d0436"/>
    <ds:schemaRef ds:uri="c91aa2c8-857b-41dc-876e-377c9762eb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B3FC66-8D68-4CBF-B44C-48A4B9DD74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3154</Words>
  <Characters>1799</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Olegas Sviridovas</dc:creator>
  <cp:keywords/>
  <dc:description/>
  <cp:lastModifiedBy>Olegas Sviridovas</cp:lastModifiedBy>
  <cp:revision>4</cp:revision>
  <dcterms:created xsi:type="dcterms:W3CDTF">2026-02-02T12:35:00Z</dcterms:created>
  <dcterms:modified xsi:type="dcterms:W3CDTF">2026-02-03T13:12:00Z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0x010100E4AE15E114528B4CA8EC3F762E198F91</vt:lpwstr>
  </property>
</Properties>
</file>