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0FB43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Sumažėjus arba padidėjus elektros arba šilumos energijos sąnaudoms, kai energija negaminama Jūsų įmonėje, reikia įvertinti  projekto netiesioginį poveikį: sąlyginį išmetamų teršalų į aplinkos orą  sumažėjimą/padidėjimą. Visuose projektuose vertinsim, kad energija gaminama, deginant gamtines dujas. Įvairaus kuro aplinkos apsaugos rodikliai (emisijų faktoriai)  Dideliems kurą deginantiems įrenginiams (DKDĮ) pateikti Lentelė 1.</w:t>
      </w:r>
    </w:p>
    <w:p w14:paraId="6F58AFE2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1425FC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>Lentelė 1. Emisijų faktoriai dideliems kurą deginantiems įrenginiams (DKDĮ), deginant gamtines dujas [1]</w:t>
      </w: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410"/>
        <w:gridCol w:w="1417"/>
        <w:gridCol w:w="1276"/>
        <w:gridCol w:w="1276"/>
        <w:gridCol w:w="1200"/>
        <w:gridCol w:w="1389"/>
        <w:gridCol w:w="2514"/>
      </w:tblGrid>
      <w:tr w:rsidR="00C06036" w:rsidRPr="00C06036" w14:paraId="77C9778F" w14:textId="77777777" w:rsidTr="00C06036">
        <w:trPr>
          <w:tblCellSpacing w:w="15" w:type="dxa"/>
        </w:trPr>
        <w:tc>
          <w:tcPr>
            <w:tcW w:w="236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0021CED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Deginamas kuras</w:t>
            </w:r>
          </w:p>
        </w:tc>
        <w:tc>
          <w:tcPr>
            <w:tcW w:w="238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C1C648C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Kaloringumas [2]</w:t>
            </w:r>
          </w:p>
        </w:tc>
        <w:tc>
          <w:tcPr>
            <w:tcW w:w="1387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84A2E66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CO2 [3]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0E2B0BB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SO2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3A2E02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NOx</w:t>
            </w:r>
            <w:proofErr w:type="spellEnd"/>
          </w:p>
        </w:tc>
        <w:tc>
          <w:tcPr>
            <w:tcW w:w="117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7F346D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CO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D0B3321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LOJ</w:t>
            </w:r>
          </w:p>
        </w:tc>
        <w:tc>
          <w:tcPr>
            <w:tcW w:w="2469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1B56AA8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Kietosios dalelės</w:t>
            </w:r>
          </w:p>
        </w:tc>
      </w:tr>
      <w:tr w:rsidR="00C06036" w:rsidRPr="00C06036" w14:paraId="7459BCAA" w14:textId="77777777" w:rsidTr="00C06036">
        <w:trPr>
          <w:tblCellSpacing w:w="15" w:type="dxa"/>
        </w:trPr>
        <w:tc>
          <w:tcPr>
            <w:tcW w:w="236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6FCA290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38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4F51A4C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GJ/t</w:t>
            </w:r>
          </w:p>
        </w:tc>
        <w:tc>
          <w:tcPr>
            <w:tcW w:w="1387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9FEA0FC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kg/GJ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72D968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g/kg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90B6046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g/kg</w:t>
            </w:r>
          </w:p>
        </w:tc>
        <w:tc>
          <w:tcPr>
            <w:tcW w:w="117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47909B6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g/kg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276725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g/kg</w:t>
            </w:r>
          </w:p>
        </w:tc>
        <w:tc>
          <w:tcPr>
            <w:tcW w:w="2469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0E6586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g/kg</w:t>
            </w:r>
          </w:p>
        </w:tc>
      </w:tr>
      <w:tr w:rsidR="00C06036" w:rsidRPr="00C06036" w14:paraId="181C928D" w14:textId="77777777" w:rsidTr="00C06036">
        <w:trPr>
          <w:tblCellSpacing w:w="15" w:type="dxa"/>
        </w:trPr>
        <w:tc>
          <w:tcPr>
            <w:tcW w:w="236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1A7B0A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Dujos (1000 nm3)</w:t>
            </w:r>
          </w:p>
        </w:tc>
        <w:tc>
          <w:tcPr>
            <w:tcW w:w="238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931E4D9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33,49</w:t>
            </w:r>
          </w:p>
        </w:tc>
        <w:tc>
          <w:tcPr>
            <w:tcW w:w="1387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24FFF1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56,90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87BB9B5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–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9049F2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117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3717FB0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43C544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–</w:t>
            </w:r>
          </w:p>
        </w:tc>
        <w:tc>
          <w:tcPr>
            <w:tcW w:w="2469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97B3E94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–</w:t>
            </w:r>
          </w:p>
        </w:tc>
      </w:tr>
      <w:tr w:rsidR="00C06036" w:rsidRPr="00C06036" w14:paraId="67B169B3" w14:textId="77777777" w:rsidTr="00C06036">
        <w:trPr>
          <w:tblCellSpacing w:w="15" w:type="dxa"/>
        </w:trPr>
        <w:tc>
          <w:tcPr>
            <w:tcW w:w="236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B2EFC73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Mazutas</w:t>
            </w:r>
          </w:p>
        </w:tc>
        <w:tc>
          <w:tcPr>
            <w:tcW w:w="238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497775B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39,98</w:t>
            </w:r>
          </w:p>
        </w:tc>
        <w:tc>
          <w:tcPr>
            <w:tcW w:w="1387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1CAC502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78,00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F4CDB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20,00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C85E124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5,00</w:t>
            </w:r>
          </w:p>
        </w:tc>
        <w:tc>
          <w:tcPr>
            <w:tcW w:w="117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71B0A3A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0,002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3643F7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469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E4983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1,30</w:t>
            </w:r>
          </w:p>
        </w:tc>
      </w:tr>
      <w:tr w:rsidR="00C06036" w:rsidRPr="00C06036" w14:paraId="0022D2B7" w14:textId="77777777" w:rsidTr="00C06036">
        <w:trPr>
          <w:tblCellSpacing w:w="15" w:type="dxa"/>
        </w:trPr>
        <w:tc>
          <w:tcPr>
            <w:tcW w:w="236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C30D671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Akmens anglys</w:t>
            </w:r>
          </w:p>
        </w:tc>
        <w:tc>
          <w:tcPr>
            <w:tcW w:w="238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89F5B6F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25,12</w:t>
            </w:r>
          </w:p>
        </w:tc>
        <w:tc>
          <w:tcPr>
            <w:tcW w:w="1387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4837583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95,00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23FE14E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16,00</w:t>
            </w:r>
          </w:p>
        </w:tc>
        <w:tc>
          <w:tcPr>
            <w:tcW w:w="1246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B34873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170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3EF38D3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B63B059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2469" w:type="dxa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A711AEE" w14:textId="77777777" w:rsidR="00C06036" w:rsidRPr="00C06036" w:rsidRDefault="00C06036" w:rsidP="00C06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0603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1,40</w:t>
            </w:r>
          </w:p>
        </w:tc>
      </w:tr>
    </w:tbl>
    <w:p w14:paraId="52FA5713" w14:textId="77777777" w:rsid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 MWh = 3,6 GJ</w:t>
      </w:r>
    </w:p>
    <w:p w14:paraId="10EB8A40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EB4E44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>Naudotina literatūra:</w:t>
      </w:r>
    </w:p>
    <w:p w14:paraId="2626712E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[1] TRAINING MATERIAL IN FINANCIAL ENGINEERING. CLEANER PRODUCTION IN BALTIC COUNTRIES. ENSI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Energy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Saving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International AS,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The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Norwegian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Efficiency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Group, NEFCO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Nordic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Environment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Financial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Corporation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APINI Institute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of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Environmental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Engineering (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Part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4.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Environmental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advantages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Table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1).</w:t>
      </w:r>
    </w:p>
    <w:p w14:paraId="2BD0A976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[2] Statistikos departamento prie LR vyriausybės // Kuro ir energijos balanso sudarymo metodika (Nr. DĮ-228, 2004-11-24).</w:t>
      </w:r>
    </w:p>
    <w:p w14:paraId="7F01CCBC" w14:textId="77777777" w:rsid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lastRenderedPageBreak/>
        <w:t>[3] Komisijos Sprendimas 2007/VII/18, nustatantis šiltnamio efektą sukeliančių dujų apskaitos ir ataskaitų teikimo gaires vadovaujantis Europos Parlamento ir Tarybos direktyva 2003/87/EB (paskelbta dokumentu Nr. K(2007) 3416)</w:t>
      </w:r>
    </w:p>
    <w:p w14:paraId="663F9F88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3184355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>Įvertinimo pavyzdys:</w:t>
      </w:r>
    </w:p>
    <w:p w14:paraId="54DBD13F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Įdiegus projektą, sutaupoma 25,050 MWh/metus arba 90,18 GJ/metus elektros energijos.  Įvertinsime netiesioginį efektą: sąlyginį išmetamų teršalų į aplinkos orą  sumažėjimą.</w:t>
      </w:r>
    </w:p>
    <w:p w14:paraId="0FF72EAA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Vertinsim, kad energija gaminama, deginant gamtines dujas. Įvairaus kuro aplinkos apsaugos rodikliai (emisijų faktoriai) dideliems kurą deginantiems įrenginiams (DKDĮ) pateikti 1-oje lentelėje.</w:t>
      </w:r>
    </w:p>
    <w:p w14:paraId="18C5F2E5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Žinant gamtinių dujų kaloringumą (33,49 GJ/1000 nm3), įvertinsime nesudegintų gamtinių dujų kiekį: 90,18 x 1000 / 33,49 = 2693 nm3.</w:t>
      </w:r>
    </w:p>
    <w:p w14:paraId="7D040B70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Naudojant emisijų faktorius, įvertinsime:</w:t>
      </w:r>
    </w:p>
    <w:p w14:paraId="1F37B622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1) 56,9 kg CO2   – 1 GJ</w:t>
      </w:r>
    </w:p>
    <w:p w14:paraId="3753064D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x kg  – 90,18 GJ</w:t>
      </w:r>
    </w:p>
    <w:p w14:paraId="07258A8C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x = </w:t>
      </w:r>
      <w:r w:rsidRPr="00C06036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>5,13 t CO2</w:t>
      </w:r>
    </w:p>
    <w:p w14:paraId="4640D6C7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2)   1 g </w:t>
      </w:r>
      <w:proofErr w:type="spellStart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NOx</w:t>
      </w:r>
      <w:proofErr w:type="spellEnd"/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  – 1 nm3</w:t>
      </w:r>
    </w:p>
    <w:p w14:paraId="407C79CB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x g  – 2696 nm3</w:t>
      </w:r>
    </w:p>
    <w:p w14:paraId="02593100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x = </w:t>
      </w:r>
      <w:r w:rsidRPr="00C06036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 xml:space="preserve">2,696 kg </w:t>
      </w:r>
      <w:proofErr w:type="spellStart"/>
      <w:r w:rsidRPr="00C06036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>NOx</w:t>
      </w:r>
      <w:proofErr w:type="spellEnd"/>
    </w:p>
    <w:p w14:paraId="32B96EB8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3)   0,01 g CO – 1 nm3</w:t>
      </w:r>
    </w:p>
    <w:p w14:paraId="0ED958A6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x g  – 2696 nm3</w:t>
      </w:r>
    </w:p>
    <w:p w14:paraId="432A8D94" w14:textId="77777777" w:rsidR="00C06036" w:rsidRPr="00C06036" w:rsidRDefault="00C06036" w:rsidP="00C060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0603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x = </w:t>
      </w:r>
      <w:r w:rsidRPr="00C06036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lt-LT"/>
          <w14:ligatures w14:val="none"/>
        </w:rPr>
        <w:t>0,027 kg CO</w:t>
      </w:r>
    </w:p>
    <w:p w14:paraId="28CB684B" w14:textId="77777777" w:rsidR="00C06036" w:rsidRPr="00C06036" w:rsidRDefault="00C06036" w:rsidP="00C06036">
      <w:pPr>
        <w:jc w:val="both"/>
        <w:rPr>
          <w:rFonts w:ascii="Times New Roman" w:hAnsi="Times New Roman" w:cs="Times New Roman"/>
        </w:rPr>
      </w:pPr>
    </w:p>
    <w:sectPr w:rsidR="00C06036" w:rsidRPr="00C06036" w:rsidSect="00C301D9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36"/>
    <w:rsid w:val="00C06036"/>
    <w:rsid w:val="00C3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5D09"/>
  <w15:chartTrackingRefBased/>
  <w15:docId w15:val="{270CFFA2-ACC0-4EA4-AAED-651D2E34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Strong">
    <w:name w:val="Strong"/>
    <w:basedOn w:val="DefaultParagraphFont"/>
    <w:uiPriority w:val="22"/>
    <w:qFormat/>
    <w:rsid w:val="00C06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1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1406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Antonas Misevičius</dc:creator>
  <cp:keywords/>
  <dc:description/>
  <cp:lastModifiedBy>Antonas Misevičius</cp:lastModifiedBy>
  <cp:revision>1</cp:revision>
  <dcterms:created xsi:type="dcterms:W3CDTF">2024-03-21T11:36:00Z</dcterms:created>
  <dcterms:modified xsi:type="dcterms:W3CDTF">2024-03-21T11:38:00Z</dcterms:modified>
</cp:coreProperties>
</file>